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6 AI ASSIST</w:t>
      </w:r>
    </w:p>
    <w:p>
      <w:pPr>
        <w:pStyle w:val="Title"/>
      </w:pPr>
      <w:r>
        <w:t>Master Evidence Index</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Review the supplied records and draft Tool 6 Master Evidence Index. Preserve Tool 6's exact fields: Topic / Health Issue, What the Record Documents, Evidence Type, Date, Provider / Source, Record / File Name, Page / Location, Verified?, and Notes.</w:t>
              <w:br/>
              <w:br/>
              <w:t>Create separate entries for important documented facts, findings, diagnoses, symptoms, treatment responses, functional observations, imaging/testing findings, and other information worth locating again. Do not reduce the record to only one broad row per condition unless I explicitly ask you to do so. Do not collapse multiple distinct facts into a single condition summary merely because they concern the same body system.</w:t>
              <w:br/>
              <w:br/>
              <w:t>Use only explicit source language. Do not diagnose new conditions, combine diagnoses without support, decide what should be claimed, or decide what a fact proves. Preserve terminology as it changes over time. Earlier symptoms should not be retroactively relabeled with a later diagnosis unless the source itself makes that connection. Identify source file and page/location when available.</w:t>
              <w:br/>
              <w:br/>
              <w:t>Before declaring the draft complete, check every expected field in every populated row for partial or unsupported entries.</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